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 СОЦИАЛЬНОМ ПАРТНЕРСТВЕ В РОСТОВСКОЙ ОБЛАСТИ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Социальное партнерство</w:t>
      </w:r>
      <w:r>
        <w:rPr>
          <w:rFonts w:ascii="Times New Roman" w:hAnsi="Times New Roman"/>
          <w:sz w:val="28"/>
        </w:rPr>
        <w:t xml:space="preserve"> – система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 между работниками, работодателями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 исполнительными органами с целью согласования общих интересов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сфере трудовых отношений </w:t>
      </w:r>
      <w:r>
        <w:rPr>
          <w:rFonts w:ascii="Times New Roman" w:hAnsi="Times New Roman"/>
          <w:i/>
          <w:sz w:val="28"/>
        </w:rPr>
        <w:t>(оплаты труда, улучшения условий и охраны труда, правовой защиты, дополнительных социальных гарантий)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Правовая основа</w:t>
      </w:r>
      <w:r>
        <w:rPr>
          <w:rFonts w:ascii="Times New Roman" w:hAnsi="Times New Roman"/>
          <w:sz w:val="28"/>
        </w:rPr>
        <w:t xml:space="preserve"> – Конституция РФ (статья 75.1), Трудовой кодекс РФ, областные законы: от 16.12.2009 № 345-ЗС «Об органах социального партнерства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Ростовской области»; от 24.12.2012 № 1013-ЗС «О некоторых вопросах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социального партнерства в сфере труда на территории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Совещательный орган</w:t>
      </w:r>
      <w:r>
        <w:rPr>
          <w:rFonts w:ascii="Times New Roman" w:hAnsi="Times New Roman"/>
          <w:sz w:val="28"/>
        </w:rPr>
        <w:t xml:space="preserve"> - областная трехсторонняя комиссия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регулированию социально-трудовых отношений (заседания проводятся ежеквартально).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 xml:space="preserve">Общие принципы регулирования социально-трудовых отношений  закреплены в </w:t>
      </w:r>
      <w:r>
        <w:rPr>
          <w:rFonts w:ascii="Times New Roman" w:hAnsi="Times New Roman"/>
          <w:b/>
          <w:spacing w:val="-7"/>
          <w:sz w:val="28"/>
        </w:rPr>
        <w:t>ключевом документе</w:t>
      </w:r>
      <w:r>
        <w:rPr>
          <w:rFonts w:ascii="Times New Roman" w:hAnsi="Times New Roman"/>
          <w:spacing w:val="-7"/>
          <w:sz w:val="28"/>
        </w:rPr>
        <w:t xml:space="preserve"> - </w:t>
      </w:r>
      <w:r>
        <w:rPr>
          <w:rFonts w:ascii="Times New Roman" w:hAnsi="Times New Roman"/>
          <w:b/>
          <w:spacing w:val="-7"/>
          <w:sz w:val="28"/>
        </w:rPr>
        <w:t>областном трехстороннем Соглашении</w:t>
      </w:r>
      <w:r>
        <w:rPr>
          <w:rFonts w:ascii="Times New Roman" w:hAnsi="Times New Roman"/>
          <w:spacing w:val="-7"/>
          <w:sz w:val="28"/>
        </w:rPr>
        <w:t xml:space="preserve"> между Правительством Ростовской области, Федерацией Профсоюзов и Союзом работодателей, заключаемом каждые 3 года.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Действующее Соглашение содержит восемь разделов: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экономической политики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и уровень жизни населения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рынка труда и содействие занятости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условий и охраны труда, охраны окружающей среды и экологической безопасности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национальной политики в сфере демографического развития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Молодежная политика и социальная активность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социального партнерства в сфере социально-трудовых отношений</w:t>
      </w:r>
    </w:p>
    <w:p>
      <w:pPr>
        <w:pStyle w:val="ListParagraph1"/>
        <w:widowControl w:val="false"/>
        <w:numPr>
          <w:ilvl w:val="0"/>
          <w:numId w:val="1"/>
        </w:numPr>
        <w:spacing w:lineRule="auto" w:line="216" w:before="0" w:after="0"/>
        <w:ind w:left="709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Соглашения, обеспечение контроля его выполнения,</w:t>
        <w:br/>
        <w:t>ответственность Сторон за реализацию обязательств Соглашения</w:t>
      </w:r>
    </w:p>
    <w:p>
      <w:pPr>
        <w:pStyle w:val="Normal"/>
        <w:widowControl w:val="false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Соглашения – положения и гарантии, обозначенные в Трудовом Кодексе РФ, а также мероприятия корпоративных программ по поддержке работников с семейными обязанностями.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Работодатели </w:t>
      </w:r>
      <w:r>
        <w:rPr>
          <w:rFonts w:ascii="Times New Roman" w:hAnsi="Times New Roman"/>
          <w:b/>
          <w:sz w:val="28"/>
        </w:rPr>
        <w:t>имеют право</w:t>
      </w:r>
      <w:r>
        <w:rPr>
          <w:rFonts w:ascii="Times New Roman" w:hAnsi="Times New Roman"/>
          <w:sz w:val="28"/>
        </w:rPr>
        <w:t xml:space="preserve"> самостоятельно устанавливать дополнительные социальные гарантии для своих работников </w:t>
      </w:r>
      <w:r>
        <w:rPr>
          <w:rFonts w:ascii="Times New Roman" w:hAnsi="Times New Roman"/>
          <w:b/>
          <w:sz w:val="28"/>
        </w:rPr>
        <w:t>с учетом производственных и финансовых возможностей.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Изложенные в Соглашении обязательства и гарантии  находят практическое отражение  в коллективных договорах предприятий и организаций.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Коллективный договор</w:t>
      </w:r>
      <w:r>
        <w:rPr>
          <w:rFonts w:ascii="Times New Roman" w:hAnsi="Times New Roman"/>
          <w:sz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sectPr>
      <w:type w:val="nextPage"/>
      <w:pgSz w:w="11906" w:h="16838"/>
      <w:pgMar w:left="1134" w:right="566" w:header="0" w:top="993" w:footer="0" w:bottom="82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8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32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0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30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7_ch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11">
    <w:name w:val="Обычный1"/>
    <w:link w:val="Style_1"/>
    <w:qFormat/>
    <w:rPr/>
  </w:style>
  <w:style w:type="character" w:styleId="Endnote">
    <w:name w:val="Endnote"/>
    <w:link w:val="Style_9"/>
    <w:qFormat/>
    <w:rPr>
      <w:rFonts w:ascii="XO Thames" w:hAnsi="XO Thames"/>
    </w:rPr>
  </w:style>
  <w:style w:type="character" w:styleId="Heading3">
    <w:name w:val="Heading 3"/>
    <w:link w:val="Style_10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11"/>
    <w:qFormat/>
    <w:rPr/>
  </w:style>
  <w:style w:type="character" w:styleId="12">
    <w:name w:val="Основной шрифт абзаца1"/>
    <w:link w:val="Style_16"/>
    <w:qFormat/>
    <w:rPr/>
  </w:style>
  <w:style w:type="character" w:styleId="Contents3">
    <w:name w:val="Contents 3"/>
    <w:link w:val="Style_13"/>
    <w:qFormat/>
    <w:rPr>
      <w:rFonts w:ascii="XO Thames" w:hAnsi="XO Thames"/>
      <w:sz w:val="28"/>
    </w:rPr>
  </w:style>
  <w:style w:type="character" w:styleId="13">
    <w:name w:val="Гиперссылка1"/>
    <w:link w:val="Style_31"/>
    <w:qFormat/>
    <w:rPr>
      <w:color w:val="0000FF"/>
      <w:u w:val="single"/>
    </w:rPr>
  </w:style>
  <w:style w:type="character" w:styleId="BalloonText">
    <w:name w:val="Balloon Text"/>
    <w:link w:val="Style_15"/>
    <w:qFormat/>
    <w:rPr>
      <w:rFonts w:ascii="Tahoma" w:hAnsi="Tahoma"/>
      <w:sz w:val="16"/>
    </w:rPr>
  </w:style>
  <w:style w:type="character" w:styleId="Heading5">
    <w:name w:val="Heading 5"/>
    <w:link w:val="Style_17"/>
    <w:qFormat/>
    <w:rPr>
      <w:rFonts w:ascii="XO Thames" w:hAnsi="XO Thames"/>
      <w:b/>
    </w:rPr>
  </w:style>
  <w:style w:type="character" w:styleId="Heading1">
    <w:name w:val="Heading 1"/>
    <w:link w:val="Style_18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</w:rPr>
  </w:style>
  <w:style w:type="character" w:styleId="Contents1">
    <w:name w:val="Contents 1"/>
    <w:link w:val="Style_21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2"/>
    <w:qFormat/>
    <w:rPr>
      <w:rFonts w:ascii="XO Thames" w:hAnsi="XO Thames"/>
      <w:sz w:val="28"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Contents8">
    <w:name w:val="Contents 8"/>
    <w:link w:val="Style_25"/>
    <w:qFormat/>
    <w:rPr>
      <w:rFonts w:ascii="XO Thames" w:hAnsi="XO Thames"/>
      <w:sz w:val="28"/>
    </w:rPr>
  </w:style>
  <w:style w:type="character" w:styleId="NormalWeb">
    <w:name w:val="Normal (Web)"/>
    <w:link w:val="Style_26"/>
    <w:qFormat/>
    <w:rPr>
      <w:rFonts w:ascii="Times New Roman" w:hAnsi="Times New Roman"/>
      <w:sz w:val="24"/>
    </w:rPr>
  </w:style>
  <w:style w:type="character" w:styleId="Contents5">
    <w:name w:val="Contents 5"/>
    <w:link w:val="Style_27"/>
    <w:qFormat/>
    <w:rPr>
      <w:rFonts w:ascii="XO Thames" w:hAnsi="XO Thames"/>
      <w:sz w:val="28"/>
    </w:rPr>
  </w:style>
  <w:style w:type="character" w:styleId="Subtitle">
    <w:name w:val="Subtitle"/>
    <w:link w:val="Style_28"/>
    <w:qFormat/>
    <w:rPr>
      <w:rFonts w:ascii="XO Thames" w:hAnsi="XO Thames"/>
      <w:i/>
      <w:sz w:val="24"/>
    </w:rPr>
  </w:style>
  <w:style w:type="character" w:styleId="Title">
    <w:name w:val="Title"/>
    <w:link w:val="Style_29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0"/>
    <w:qFormat/>
    <w:rPr>
      <w:rFonts w:ascii="XO Thames" w:hAnsi="XO Thames"/>
      <w:b/>
      <w:sz w:val="24"/>
    </w:rPr>
  </w:style>
  <w:style w:type="character" w:styleId="Heading2">
    <w:name w:val="Heading 2"/>
    <w:link w:val="Style_32"/>
    <w:qFormat/>
    <w:rPr>
      <w:rFonts w:ascii="XO Thames" w:hAnsi="XO Thames"/>
      <w:b/>
      <w:sz w:val="28"/>
    </w:rPr>
  </w:style>
  <w:style w:type="character" w:styleId="ListParagraph">
    <w:name w:val="List Paragraph"/>
    <w:link w:val="Style_2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link w:val="Style_4_ch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бычный1"/>
    <w:link w:val="Style_1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"/>
    <w:link w:val="Style_9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11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Основной шрифт абзаца1"/>
    <w:link w:val="Style_16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13_ch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Гиперссылка1"/>
    <w:link w:val="Style_31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BalloonText1">
    <w:name w:val="Balloon Text"/>
    <w:basedOn w:val="Normal"/>
    <w:link w:val="Style_15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Hyperlink"/>
    <w:link w:val="Style_19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TOC 1"/>
    <w:next w:val="Normal"/>
    <w:link w:val="Style_21_ch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22_ch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link w:val="Style_24_ch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25_ch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Style_26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51">
    <w:name w:val="TOC 5"/>
    <w:next w:val="Normal"/>
    <w:link w:val="Style_27_ch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28_ch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29_ch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Paragraph1">
    <w:name w:val="List Paragraph"/>
    <w:basedOn w:val="Normal"/>
    <w:link w:val="Style_2_ch"/>
    <w:qFormat/>
    <w:pPr>
      <w:spacing w:before="0" w:after="200"/>
      <w:ind w:left="720" w:right="0" w:hanging="0"/>
      <w:contextualSpacing/>
    </w:pPr>
    <w:rPr/>
  </w:style>
  <w:style w:type="table" w:default="1" w:styleId="Style_3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1</Pages>
  <Words>263</Words>
  <Characters>1989</Characters>
  <CharactersWithSpaces>2232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2025-03-04T14:13:46Z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